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327" w:rsidRDefault="000D2FDE">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w:t>
      </w:r>
      <w:r>
        <w:rPr>
          <w:rFonts w:ascii="Arial" w:hAnsi="Arial" w:cs="Arial" w:hint="eastAsia"/>
          <w:b/>
          <w:bCs/>
          <w:snapToGrid w:val="0"/>
          <w:kern w:val="0"/>
          <w:sz w:val="24"/>
        </w:rPr>
        <w:t>8</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hint="eastAsia"/>
          <w:b/>
          <w:bCs/>
          <w:snapToGrid w:val="0"/>
          <w:kern w:val="0"/>
          <w:sz w:val="24"/>
        </w:rPr>
        <w:t xml:space="preserve"> </w:t>
      </w:r>
      <w:r>
        <w:rPr>
          <w:rFonts w:ascii="Arial" w:hAnsi="Arial" w:cs="Arial" w:hint="eastAsia"/>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hint="eastAsia"/>
          <w:b/>
          <w:bCs/>
          <w:snapToGrid w:val="0"/>
          <w:kern w:val="0"/>
          <w:sz w:val="24"/>
        </w:rPr>
        <w:t xml:space="preserve">     </w:t>
      </w:r>
      <w:r>
        <w:rPr>
          <w:rFonts w:ascii="Arial" w:hAnsi="Arial" w:cs="Arial" w:hint="eastAsia"/>
          <w:b/>
          <w:bCs/>
          <w:snapToGrid w:val="0"/>
          <w:kern w:val="0"/>
          <w:sz w:val="24"/>
        </w:rPr>
        <w:t>R2-19</w:t>
      </w:r>
      <w:r>
        <w:rPr>
          <w:rFonts w:ascii="Arial" w:hAnsi="Arial" w:cs="Arial" w:hint="eastAsia"/>
          <w:b/>
          <w:bCs/>
          <w:snapToGrid w:val="0"/>
          <w:kern w:val="0"/>
          <w:sz w:val="24"/>
        </w:rPr>
        <w:t>14826</w:t>
      </w:r>
    </w:p>
    <w:p w:rsidR="00C93327" w:rsidRDefault="000D2FDE">
      <w:pPr>
        <w:overflowPunct w:val="0"/>
        <w:autoSpaceDE w:val="0"/>
        <w:autoSpaceDN w:val="0"/>
        <w:adjustRightInd w:val="0"/>
        <w:snapToGrid w:val="0"/>
        <w:jc w:val="left"/>
        <w:textAlignment w:val="baseline"/>
        <w:rPr>
          <w:rFonts w:ascii="Arial" w:hAnsi="Arial" w:cs="Arial"/>
          <w:b/>
          <w:bCs/>
          <w:kern w:val="0"/>
          <w:sz w:val="24"/>
        </w:rPr>
      </w:pPr>
      <w:r>
        <w:rPr>
          <w:rFonts w:ascii="Arial" w:eastAsia="SimSun" w:hAnsi="Arial" w:cs="Arial" w:hint="eastAsia"/>
          <w:b/>
          <w:bCs/>
          <w:kern w:val="0"/>
          <w:sz w:val="24"/>
        </w:rPr>
        <w:t>Reno</w:t>
      </w:r>
      <w:r>
        <w:rPr>
          <w:rFonts w:ascii="Arial" w:hAnsi="Arial" w:cs="Arial" w:hint="eastAsia"/>
          <w:b/>
          <w:bCs/>
          <w:kern w:val="0"/>
          <w:sz w:val="24"/>
        </w:rPr>
        <w:t>,</w:t>
      </w:r>
      <w:r>
        <w:rPr>
          <w:rFonts w:ascii="Arial" w:hAnsi="Arial" w:cs="Arial" w:hint="eastAsia"/>
          <w:b/>
          <w:bCs/>
          <w:kern w:val="0"/>
          <w:sz w:val="24"/>
        </w:rPr>
        <w:t xml:space="preserve"> Nevada, USA</w:t>
      </w:r>
      <w:r>
        <w:rPr>
          <w:rFonts w:ascii="Arial" w:eastAsia="SimSun" w:hAnsi="Arial" w:cs="Arial" w:hint="eastAsia"/>
          <w:b/>
          <w:bCs/>
          <w:kern w:val="0"/>
          <w:sz w:val="24"/>
        </w:rPr>
        <w:t xml:space="preserve"> 18</w:t>
      </w:r>
      <w:r>
        <w:rPr>
          <w:rFonts w:ascii="Arial" w:hAnsi="Arial" w:cs="Arial" w:hint="eastAsia"/>
          <w:b/>
          <w:bCs/>
          <w:kern w:val="0"/>
          <w:sz w:val="24"/>
        </w:rPr>
        <w:t xml:space="preserve">th - </w:t>
      </w:r>
      <w:r>
        <w:rPr>
          <w:rFonts w:ascii="Arial" w:eastAsia="SimSun" w:hAnsi="Arial" w:cs="Arial" w:hint="eastAsia"/>
          <w:b/>
          <w:bCs/>
          <w:kern w:val="0"/>
          <w:sz w:val="24"/>
        </w:rPr>
        <w:t>22</w:t>
      </w:r>
      <w:r w:rsidR="00012D81">
        <w:rPr>
          <w:rFonts w:ascii="Arial" w:hAnsi="Arial" w:cs="Arial" w:hint="eastAsia"/>
          <w:b/>
          <w:bCs/>
          <w:kern w:val="0"/>
          <w:sz w:val="24"/>
        </w:rPr>
        <w:t>nd</w:t>
      </w:r>
      <w:r>
        <w:rPr>
          <w:rFonts w:ascii="Arial" w:hAnsi="Arial" w:cs="Arial" w:hint="eastAsia"/>
          <w:b/>
          <w:bCs/>
          <w:kern w:val="0"/>
          <w:sz w:val="24"/>
        </w:rPr>
        <w:t xml:space="preserve"> </w:t>
      </w:r>
      <w:r>
        <w:rPr>
          <w:rFonts w:ascii="Arial" w:eastAsia="SimSun" w:hAnsi="Arial" w:cs="Arial" w:hint="eastAsia"/>
          <w:b/>
          <w:bCs/>
          <w:kern w:val="0"/>
          <w:sz w:val="24"/>
        </w:rPr>
        <w:t>November</w:t>
      </w:r>
      <w:r>
        <w:rPr>
          <w:rFonts w:ascii="Arial" w:hAnsi="Arial" w:cs="Arial" w:hint="eastAsia"/>
          <w:b/>
          <w:bCs/>
          <w:kern w:val="0"/>
          <w:sz w:val="24"/>
        </w:rPr>
        <w:t xml:space="preserve"> 2019        </w:t>
      </w:r>
      <w:r>
        <w:rPr>
          <w:rFonts w:ascii="Arial" w:hAnsi="Arial" w:cs="Arial" w:hint="eastAsia"/>
          <w:b/>
          <w:bCs/>
          <w:kern w:val="0"/>
          <w:sz w:val="24"/>
        </w:rPr>
        <w:t xml:space="preserve">  </w:t>
      </w:r>
      <w:r>
        <w:rPr>
          <w:rFonts w:ascii="Arial" w:hAnsi="Arial" w:cs="Arial" w:hint="eastAsia"/>
          <w:b/>
          <w:bCs/>
          <w:kern w:val="0"/>
          <w:sz w:val="24"/>
        </w:rPr>
        <w:t xml:space="preserve">                      </w:t>
      </w:r>
    </w:p>
    <w:p w:rsidR="00C93327" w:rsidRDefault="00C93327">
      <w:pPr>
        <w:overflowPunct w:val="0"/>
        <w:autoSpaceDE w:val="0"/>
        <w:autoSpaceDN w:val="0"/>
        <w:adjustRightInd w:val="0"/>
        <w:snapToGrid w:val="0"/>
        <w:jc w:val="left"/>
        <w:textAlignment w:val="baseline"/>
        <w:rPr>
          <w:rFonts w:ascii="Arial" w:hAnsi="Arial" w:cs="Arial"/>
          <w:b/>
          <w:bCs/>
          <w:snapToGrid w:val="0"/>
          <w:kern w:val="0"/>
          <w:sz w:val="24"/>
        </w:rPr>
      </w:pPr>
    </w:p>
    <w:p w:rsidR="00C93327" w:rsidRDefault="000D2FDE">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C93327" w:rsidRDefault="000D2FDE">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Configuration for MCG fast recovery</w:t>
      </w:r>
    </w:p>
    <w:p w:rsidR="00C93327" w:rsidRDefault="000D2FDE">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hint="eastAsia"/>
          <w:b/>
          <w:bCs/>
          <w:snapToGrid w:val="0"/>
          <w:kern w:val="0"/>
          <w:sz w:val="24"/>
        </w:rPr>
        <w:t>6.10.5</w:t>
      </w:r>
    </w:p>
    <w:p w:rsidR="00C93327" w:rsidRDefault="000D2FDE">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Discussion and Decision</w:t>
      </w:r>
    </w:p>
    <w:p w:rsidR="00C93327" w:rsidRDefault="000D2FD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C93327" w:rsidRDefault="000D2FDE">
      <w:pPr>
        <w:spacing w:before="240"/>
        <w:rPr>
          <w:szCs w:val="21"/>
        </w:rPr>
      </w:pPr>
      <w:r>
        <w:rPr>
          <w:rFonts w:hint="eastAsia"/>
        </w:rPr>
        <w:t>At RAN2#10</w:t>
      </w:r>
      <w:r>
        <w:rPr>
          <w:rFonts w:hint="eastAsia"/>
        </w:rPr>
        <w:t>7bis</w:t>
      </w:r>
      <w:r>
        <w:rPr>
          <w:rFonts w:hint="eastAsia"/>
          <w:szCs w:val="21"/>
        </w:rPr>
        <w:t xml:space="preserve"> [1], the following agreements were reached on MCG fast recovery:</w:t>
      </w:r>
    </w:p>
    <w:p w:rsidR="00C93327" w:rsidRDefault="000D2FDE">
      <w:pPr>
        <w:pStyle w:val="Doc-text2"/>
        <w:pBdr>
          <w:top w:val="single" w:sz="4" w:space="1" w:color="auto"/>
          <w:left w:val="single" w:sz="4" w:space="4" w:color="auto"/>
          <w:bottom w:val="single" w:sz="4" w:space="1" w:color="auto"/>
          <w:right w:val="single" w:sz="4" w:space="4" w:color="auto"/>
        </w:pBdr>
      </w:pPr>
      <w:r>
        <w:t>Agreements</w:t>
      </w:r>
    </w:p>
    <w:p w:rsidR="00C93327" w:rsidRDefault="000D2FDE">
      <w:pPr>
        <w:pStyle w:val="Doc-text2"/>
        <w:numPr>
          <w:ilvl w:val="0"/>
          <w:numId w:val="4"/>
        </w:numPr>
        <w:pBdr>
          <w:top w:val="single" w:sz="4" w:space="1" w:color="auto"/>
          <w:left w:val="single" w:sz="4" w:space="4" w:color="auto"/>
          <w:bottom w:val="single" w:sz="4" w:space="1" w:color="auto"/>
          <w:right w:val="single" w:sz="4" w:space="4" w:color="auto"/>
        </w:pBdr>
        <w:adjustRightInd w:val="0"/>
        <w:snapToGrid w:val="0"/>
        <w:spacing w:line="260" w:lineRule="auto"/>
        <w:ind w:left="1684"/>
      </w:pPr>
      <w:r>
        <w:rPr>
          <w:rFonts w:hint="eastAsia"/>
        </w:rPr>
        <w:t>Fast PCell recovery via SCell is not introduced in Rel-16.</w:t>
      </w:r>
    </w:p>
    <w:p w:rsidR="00C93327" w:rsidRDefault="000D2FDE">
      <w:pPr>
        <w:pStyle w:val="Doc-text2"/>
        <w:numPr>
          <w:ilvl w:val="0"/>
          <w:numId w:val="4"/>
        </w:numPr>
        <w:pBdr>
          <w:top w:val="single" w:sz="4" w:space="1" w:color="auto"/>
          <w:left w:val="single" w:sz="4" w:space="4" w:color="auto"/>
          <w:bottom w:val="single" w:sz="4" w:space="1" w:color="auto"/>
          <w:right w:val="single" w:sz="4" w:space="4" w:color="auto"/>
        </w:pBdr>
        <w:adjustRightInd w:val="0"/>
        <w:snapToGrid w:val="0"/>
        <w:spacing w:line="260" w:lineRule="auto"/>
        <w:ind w:left="1684"/>
      </w:pPr>
      <w:r>
        <w:rPr>
          <w:rFonts w:hint="eastAsia"/>
        </w:rPr>
        <w:t xml:space="preserve">We add no functionality for optimized RRC </w:t>
      </w:r>
      <w:r>
        <w:rPr>
          <w:rFonts w:hint="eastAsia"/>
        </w:rPr>
        <w:t>re-establishment to SN RAT in Rel-16</w:t>
      </w:r>
    </w:p>
    <w:p w:rsidR="00C93327" w:rsidRDefault="000D2FDE">
      <w:pPr>
        <w:pStyle w:val="Doc-text2"/>
        <w:numPr>
          <w:ilvl w:val="0"/>
          <w:numId w:val="4"/>
        </w:numPr>
        <w:pBdr>
          <w:top w:val="single" w:sz="4" w:space="1" w:color="auto"/>
          <w:left w:val="single" w:sz="4" w:space="4" w:color="auto"/>
          <w:bottom w:val="single" w:sz="4" w:space="1" w:color="auto"/>
          <w:right w:val="single" w:sz="4" w:space="4" w:color="auto"/>
        </w:pBdr>
        <w:adjustRightInd w:val="0"/>
        <w:snapToGrid w:val="0"/>
        <w:spacing w:line="260" w:lineRule="auto"/>
        <w:ind w:left="1684"/>
      </w:pPr>
      <w:r>
        <w:rPr>
          <w:rFonts w:hint="eastAsia"/>
        </w:rPr>
        <w:t>No further mechanisms are introduced to resolve outstanding UL/DL RRC deadlock messages situation upon the triggering of MCG failure recovery</w:t>
      </w:r>
    </w:p>
    <w:p w:rsidR="00C93327" w:rsidRDefault="000D2FDE">
      <w:pPr>
        <w:pStyle w:val="Doc-text2"/>
        <w:numPr>
          <w:ilvl w:val="0"/>
          <w:numId w:val="4"/>
        </w:numPr>
        <w:pBdr>
          <w:top w:val="single" w:sz="4" w:space="1" w:color="auto"/>
          <w:left w:val="single" w:sz="4" w:space="4" w:color="auto"/>
          <w:bottom w:val="single" w:sz="4" w:space="1" w:color="auto"/>
          <w:right w:val="single" w:sz="4" w:space="4" w:color="auto"/>
        </w:pBdr>
        <w:adjustRightInd w:val="0"/>
        <w:snapToGrid w:val="0"/>
        <w:spacing w:line="260" w:lineRule="auto"/>
        <w:ind w:left="1684"/>
      </w:pPr>
      <w:r>
        <w:rPr>
          <w:rFonts w:hint="eastAsia"/>
        </w:rPr>
        <w:t>For MCG fast recovery via SRB3, the MCGFailureInformation message in UL is en</w:t>
      </w:r>
      <w:r>
        <w:rPr>
          <w:rFonts w:hint="eastAsia"/>
        </w:rPr>
        <w:t>capsulated in the ULInformationTransferMRDC message</w:t>
      </w:r>
    </w:p>
    <w:p w:rsidR="00C93327" w:rsidRDefault="000D2FDE">
      <w:pPr>
        <w:pStyle w:val="Doc-text2"/>
        <w:numPr>
          <w:ilvl w:val="0"/>
          <w:numId w:val="4"/>
        </w:numPr>
        <w:pBdr>
          <w:top w:val="single" w:sz="4" w:space="1" w:color="auto"/>
          <w:left w:val="single" w:sz="4" w:space="4" w:color="auto"/>
          <w:bottom w:val="single" w:sz="4" w:space="1" w:color="auto"/>
          <w:right w:val="single" w:sz="4" w:space="4" w:color="auto"/>
        </w:pBdr>
        <w:adjustRightInd w:val="0"/>
        <w:snapToGrid w:val="0"/>
        <w:spacing w:line="260" w:lineRule="auto"/>
        <w:ind w:left="1684"/>
      </w:pPr>
      <w:r>
        <w:rPr>
          <w:rFonts w:hint="eastAsia"/>
        </w:rPr>
        <w:t>A new RRC message, i.e., DLInformationTransferMRDC, is introduced in order to allow the SN to encapsulate (for SRB3) the MN response (i.e., RRCReconfiguration or RRCRelease message) to be send to the UE</w:t>
      </w:r>
    </w:p>
    <w:p w:rsidR="00C93327" w:rsidRDefault="000D2FDE">
      <w:pPr>
        <w:pStyle w:val="Doc-text2"/>
        <w:numPr>
          <w:ilvl w:val="0"/>
          <w:numId w:val="4"/>
        </w:numPr>
        <w:pBdr>
          <w:top w:val="single" w:sz="4" w:space="1" w:color="auto"/>
          <w:left w:val="single" w:sz="4" w:space="4" w:color="auto"/>
          <w:bottom w:val="single" w:sz="4" w:space="1" w:color="auto"/>
          <w:right w:val="single" w:sz="4" w:space="4" w:color="auto"/>
        </w:pBdr>
        <w:adjustRightInd w:val="0"/>
        <w:snapToGrid w:val="0"/>
        <w:spacing w:line="260" w:lineRule="auto"/>
        <w:ind w:left="1684"/>
      </w:pPr>
      <w:r>
        <w:rPr>
          <w:rFonts w:hint="eastAsia"/>
        </w:rPr>
        <w:t>T</w:t>
      </w:r>
      <w:r>
        <w:rPr>
          <w:rFonts w:hint="eastAsia"/>
        </w:rPr>
        <w:t>he RRC procedure on these encapsulated messages are the same as if they had been received by SRB1</w:t>
      </w:r>
    </w:p>
    <w:p w:rsidR="00C93327" w:rsidRDefault="000D2FDE">
      <w:pPr>
        <w:pStyle w:val="Doc-text2"/>
        <w:numPr>
          <w:ilvl w:val="0"/>
          <w:numId w:val="4"/>
        </w:numPr>
        <w:pBdr>
          <w:top w:val="single" w:sz="4" w:space="1" w:color="auto"/>
          <w:left w:val="single" w:sz="4" w:space="4" w:color="auto"/>
          <w:bottom w:val="single" w:sz="4" w:space="1" w:color="auto"/>
          <w:right w:val="single" w:sz="4" w:space="4" w:color="auto"/>
        </w:pBdr>
        <w:adjustRightInd w:val="0"/>
        <w:snapToGrid w:val="0"/>
        <w:spacing w:line="260" w:lineRule="auto"/>
        <w:ind w:left="1684"/>
      </w:pPr>
      <w:r>
        <w:rPr>
          <w:rFonts w:hint="eastAsia"/>
        </w:rPr>
        <w:t>When receiving a MN RRCRelease message encapsulated within an SN RRC message via SRB3, the UE does not send any complete message</w:t>
      </w:r>
    </w:p>
    <w:p w:rsidR="00C93327" w:rsidRDefault="000D2FDE">
      <w:pPr>
        <w:pStyle w:val="Doc-text2"/>
        <w:numPr>
          <w:ilvl w:val="0"/>
          <w:numId w:val="4"/>
        </w:numPr>
        <w:pBdr>
          <w:top w:val="single" w:sz="4" w:space="1" w:color="auto"/>
          <w:left w:val="single" w:sz="4" w:space="4" w:color="auto"/>
          <w:bottom w:val="single" w:sz="4" w:space="1" w:color="auto"/>
          <w:right w:val="single" w:sz="4" w:space="4" w:color="auto"/>
        </w:pBdr>
        <w:adjustRightInd w:val="0"/>
        <w:snapToGrid w:val="0"/>
        <w:spacing w:line="260" w:lineRule="auto"/>
        <w:ind w:left="1684"/>
        <w:rPr>
          <w:highlight w:val="yellow"/>
        </w:rPr>
      </w:pPr>
      <w:r>
        <w:rPr>
          <w:rFonts w:hint="eastAsia"/>
          <w:highlight w:val="yellow"/>
        </w:rPr>
        <w:t>Split SRB1 is always used for</w:t>
      </w:r>
      <w:r>
        <w:rPr>
          <w:rFonts w:hint="eastAsia"/>
          <w:highlight w:val="yellow"/>
        </w:rPr>
        <w:t xml:space="preserve"> the transmission of the MCGFailureInformation message. SRB3 is used only if split SRB1 is not configured</w:t>
      </w:r>
    </w:p>
    <w:p w:rsidR="00C93327" w:rsidRDefault="000D2FDE">
      <w:pPr>
        <w:pStyle w:val="Doc-text2"/>
        <w:numPr>
          <w:ilvl w:val="0"/>
          <w:numId w:val="4"/>
        </w:numPr>
        <w:pBdr>
          <w:top w:val="single" w:sz="4" w:space="1" w:color="auto"/>
          <w:left w:val="single" w:sz="4" w:space="4" w:color="auto"/>
          <w:bottom w:val="single" w:sz="4" w:space="1" w:color="auto"/>
          <w:right w:val="single" w:sz="4" w:space="4" w:color="auto"/>
        </w:pBdr>
        <w:adjustRightInd w:val="0"/>
        <w:snapToGrid w:val="0"/>
        <w:spacing w:line="260" w:lineRule="auto"/>
        <w:ind w:left="1684"/>
        <w:rPr>
          <w:sz w:val="21"/>
          <w:szCs w:val="21"/>
          <w:highlight w:val="yellow"/>
          <w:lang w:val="en-US" w:eastAsia="zh-CN"/>
        </w:rPr>
      </w:pPr>
      <w:r>
        <w:rPr>
          <w:rFonts w:hint="eastAsia"/>
          <w:highlight w:val="yellow"/>
        </w:rPr>
        <w:t>MCG failure recovery can be configured by the network.</w:t>
      </w:r>
    </w:p>
    <w:p w:rsidR="00C93327" w:rsidRDefault="000D2FDE">
      <w:bookmarkStart w:id="2" w:name="OLE_LINK1"/>
      <w:r>
        <w:rPr>
          <w:rFonts w:hint="eastAsia"/>
        </w:rPr>
        <w:t xml:space="preserve">In this contribution, we </w:t>
      </w:r>
      <w:r>
        <w:rPr>
          <w:rFonts w:hint="eastAsia"/>
        </w:rPr>
        <w:t>discuss the configuration of MCG fast recovery</w:t>
      </w:r>
      <w:r>
        <w:rPr>
          <w:rFonts w:hint="eastAsia"/>
        </w:rPr>
        <w:t>.</w:t>
      </w:r>
    </w:p>
    <w:p w:rsidR="00C93327" w:rsidRDefault="000D2FD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bookmarkEnd w:id="2"/>
    <w:p w:rsidR="00C93327" w:rsidRDefault="000D2FDE">
      <w:r>
        <w:rPr>
          <w:rFonts w:hint="eastAsia"/>
        </w:rPr>
        <w:t>At RAN2#107</w:t>
      </w:r>
      <w:r>
        <w:rPr>
          <w:rFonts w:hint="eastAsia"/>
        </w:rPr>
        <w:t>bis, we have agreed that MCG failure recovery can be configured by the network. But it still leaves open issues for who (i.e. MN or SN) and how to configure the MCG fast recovery.</w:t>
      </w:r>
    </w:p>
    <w:p w:rsidR="00C93327" w:rsidRDefault="000D2FDE">
      <w:r>
        <w:rPr>
          <w:rFonts w:hint="eastAsia"/>
        </w:rPr>
        <w:t>In case split SRB1 is configured, it</w:t>
      </w:r>
      <w:r>
        <w:t>’</w:t>
      </w:r>
      <w:r>
        <w:rPr>
          <w:rFonts w:hint="eastAsia"/>
        </w:rPr>
        <w:t>s clear that the MN can directly determ</w:t>
      </w:r>
      <w:r>
        <w:rPr>
          <w:rFonts w:hint="eastAsia"/>
        </w:rPr>
        <w:t>ine whether MCG fast recovery is allowed or not since the MCG failure information message is transparent to the SN and it</w:t>
      </w:r>
      <w:r>
        <w:t>’</w:t>
      </w:r>
      <w:r>
        <w:rPr>
          <w:rFonts w:hint="eastAsia"/>
        </w:rPr>
        <w:t xml:space="preserve">s up to the MN to handle </w:t>
      </w:r>
      <w:r>
        <w:rPr>
          <w:rFonts w:hint="eastAsia"/>
        </w:rPr>
        <w:lastRenderedPageBreak/>
        <w:t>the MCG failure information. Thus, it</w:t>
      </w:r>
      <w:r>
        <w:t>’</w:t>
      </w:r>
      <w:r>
        <w:rPr>
          <w:rFonts w:hint="eastAsia"/>
        </w:rPr>
        <w:t>s clear that the MN is responsible for MCG fast recovery and can direct</w:t>
      </w:r>
      <w:r>
        <w:rPr>
          <w:rFonts w:hint="eastAsia"/>
        </w:rPr>
        <w:t xml:space="preserve">ly indicate whether MCG fast recovery is allowed or not. </w:t>
      </w:r>
    </w:p>
    <w:p w:rsidR="00C93327" w:rsidRDefault="000D2FDE">
      <w:r>
        <w:rPr>
          <w:rFonts w:hint="eastAsia"/>
        </w:rPr>
        <w:t>However, in case split SRB1 is not configured, the MN may be not aware of the existence of SRB3. Given that SRB3 based MCG fast recovery requires some extra work on SN side (e.g. encapsulate MCG fai</w:t>
      </w:r>
      <w:r>
        <w:rPr>
          <w:rFonts w:hint="eastAsia"/>
        </w:rPr>
        <w:t>lure information message and MCG failure response message into SN RRC messages and then transfer them to/from MN), the SN should determine whether SRB3 based MCG fast recovery is enabled or not. But considering the MN plays the main role in handling MCG fa</w:t>
      </w:r>
      <w:r>
        <w:rPr>
          <w:rFonts w:hint="eastAsia"/>
        </w:rPr>
        <w:t>ilure, it</w:t>
      </w:r>
      <w:r>
        <w:t>’</w:t>
      </w:r>
      <w:r>
        <w:rPr>
          <w:rFonts w:hint="eastAsia"/>
        </w:rPr>
        <w:t>s possible that the SN can support that but the MN can not support. Thus, the SN should transfer an indication to the MN to indicate whether SRB3 based MCG fast recovery is allowed by the SN. Then the MN can configure whether MCG fast recovery is</w:t>
      </w:r>
      <w:r>
        <w:rPr>
          <w:rFonts w:hint="eastAsia"/>
        </w:rPr>
        <w:t xml:space="preserve"> allowed, with the assistant information from the SN.</w:t>
      </w:r>
    </w:p>
    <w:p w:rsidR="00C93327" w:rsidRDefault="000D2FDE">
      <w:pPr>
        <w:rPr>
          <w:b/>
          <w:bCs/>
        </w:rPr>
      </w:pPr>
      <w:r>
        <w:rPr>
          <w:rFonts w:hint="eastAsia"/>
          <w:b/>
          <w:bCs/>
        </w:rPr>
        <w:t>Proposal 1: It</w:t>
      </w:r>
      <w:r>
        <w:rPr>
          <w:b/>
          <w:bCs/>
        </w:rPr>
        <w:t>’</w:t>
      </w:r>
      <w:r>
        <w:rPr>
          <w:rFonts w:hint="eastAsia"/>
          <w:b/>
          <w:bCs/>
        </w:rPr>
        <w:t xml:space="preserve">s up to the MN to configure whether MCG fast recovery is allowed or not, with the indication from the SN for the allowance of SRB3 based MCG fast recovery. </w:t>
      </w:r>
    </w:p>
    <w:p w:rsidR="00C93327" w:rsidRDefault="000D2FDE">
      <w:r>
        <w:rPr>
          <w:rFonts w:hint="eastAsia"/>
        </w:rPr>
        <w:t>Another question is whether th</w:t>
      </w:r>
      <w:r>
        <w:rPr>
          <w:rFonts w:hint="eastAsia"/>
        </w:rPr>
        <w:t>e SN indication is a node-specific indication (i.e. directly included in the X2/Xn signaling) or a UE-specific indication (i.e. included in the CG-Config message). Although SRB3 is some kind of UE specific configuration, the allowance of SRB3 based MCG fas</w:t>
      </w:r>
      <w:r>
        <w:rPr>
          <w:rFonts w:hint="eastAsia"/>
        </w:rPr>
        <w:t xml:space="preserve">t recovery is the node-specific function. In order to avoid frequency signaling transfer between X2/Xn and Uu interface to reconfigure the enable of MCG fast recovery in case of the addition/release of SRB3, the SN can indicate whether SRB3 based MCG fast </w:t>
      </w:r>
      <w:r>
        <w:rPr>
          <w:rFonts w:hint="eastAsia"/>
        </w:rPr>
        <w:t xml:space="preserve">recovery is allowed or not in the SN addition procedure (i.e. an IE included in the SN Addition Request Acknowledge message). </w:t>
      </w:r>
    </w:p>
    <w:p w:rsidR="00C93327" w:rsidRDefault="000D2FDE">
      <w:r>
        <w:rPr>
          <w:rFonts w:hint="eastAsia"/>
          <w:b/>
          <w:bCs/>
          <w:i/>
          <w:iCs/>
        </w:rPr>
        <w:t>Observation 1: The SN indication for the allowance of SRB3 based MCG fast recovery should be node-specific indication to avoid fr</w:t>
      </w:r>
      <w:r>
        <w:rPr>
          <w:rFonts w:hint="eastAsia"/>
          <w:b/>
          <w:bCs/>
          <w:i/>
          <w:iCs/>
        </w:rPr>
        <w:t>equency signaling transfer between X2/Xn and Uu interface in case of the addition/release of SRB3.</w:t>
      </w:r>
      <w:r>
        <w:rPr>
          <w:rFonts w:hint="eastAsia"/>
          <w:b/>
          <w:bCs/>
        </w:rPr>
        <w:t xml:space="preserve"> </w:t>
      </w:r>
      <w:r>
        <w:rPr>
          <w:rFonts w:hint="eastAsia"/>
        </w:rPr>
        <w:t xml:space="preserve"> </w:t>
      </w:r>
    </w:p>
    <w:p w:rsidR="00C93327" w:rsidRDefault="000D2FDE">
      <w:pPr>
        <w:rPr>
          <w:b/>
          <w:bCs/>
        </w:rPr>
      </w:pPr>
      <w:r>
        <w:rPr>
          <w:rFonts w:hint="eastAsia"/>
          <w:b/>
          <w:bCs/>
        </w:rPr>
        <w:t xml:space="preserve">Proposal 2: Send an LS to RAN3 to request them to define an indication in the SN Addition Request Acknowledge message to indicate whether SRB3 based MCG </w:t>
      </w:r>
      <w:r>
        <w:rPr>
          <w:rFonts w:hint="eastAsia"/>
          <w:b/>
          <w:bCs/>
        </w:rPr>
        <w:t>fast recovery is allowed or not.</w:t>
      </w:r>
    </w:p>
    <w:p w:rsidR="00C93327" w:rsidRDefault="000D2FDE">
      <w:r>
        <w:rPr>
          <w:rFonts w:hint="eastAsia"/>
        </w:rPr>
        <w:t>Besides, considering the DC configuration is some kind of UE-specific configuration, the indication of MCG fast recovery from the MN should also be UE-specific. Thus, the MN can indicate whether MCG fast recovery is allowed</w:t>
      </w:r>
      <w:r>
        <w:rPr>
          <w:rFonts w:hint="eastAsia"/>
        </w:rPr>
        <w:t xml:space="preserve"> or not via dedicated RRC signaling (i.e. add an indicator in the </w:t>
      </w:r>
      <w:r>
        <w:rPr>
          <w:rFonts w:hint="eastAsia"/>
          <w:i/>
          <w:iCs/>
        </w:rPr>
        <w:t xml:space="preserve">RRCReconfiguration/RRCConnectionReconfiguration </w:t>
      </w:r>
      <w:r>
        <w:rPr>
          <w:rFonts w:hint="eastAsia"/>
        </w:rPr>
        <w:t>message</w:t>
      </w:r>
      <w:r>
        <w:rPr>
          <w:rFonts w:hint="eastAsia"/>
        </w:rPr>
        <w:t>).</w:t>
      </w:r>
    </w:p>
    <w:p w:rsidR="00C93327" w:rsidRDefault="000D2FDE">
      <w:r>
        <w:rPr>
          <w:rFonts w:hint="eastAsia"/>
          <w:b/>
          <w:bCs/>
        </w:rPr>
        <w:t>Proposal 3: The MN can configure whether MCG fast recovery is allowed or not via dedicated RRC signaling.</w:t>
      </w:r>
    </w:p>
    <w:p w:rsidR="00C93327" w:rsidRDefault="000D2FD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C93327" w:rsidRDefault="000D2FDE">
      <w:r>
        <w:t>In this contribution,</w:t>
      </w:r>
      <w:r>
        <w:rPr>
          <w:rFonts w:hint="eastAsia"/>
        </w:rPr>
        <w:t xml:space="preserve"> we discuss the configuration of MCG fast recovery with the following proposals:</w:t>
      </w:r>
    </w:p>
    <w:p w:rsidR="00C93327" w:rsidRDefault="000D2FDE">
      <w:pPr>
        <w:rPr>
          <w:b/>
          <w:bCs/>
        </w:rPr>
      </w:pPr>
      <w:r>
        <w:rPr>
          <w:rFonts w:hint="eastAsia"/>
          <w:b/>
          <w:bCs/>
        </w:rPr>
        <w:t>Proposal 1: It</w:t>
      </w:r>
      <w:r>
        <w:rPr>
          <w:b/>
          <w:bCs/>
        </w:rPr>
        <w:t>’</w:t>
      </w:r>
      <w:r>
        <w:rPr>
          <w:rFonts w:hint="eastAsia"/>
          <w:b/>
          <w:bCs/>
        </w:rPr>
        <w:t>s up to the MN to configure whether MCG fast recovery is allowed or not, with the indication from the SN for the allowance of SRB3 based MC</w:t>
      </w:r>
      <w:r>
        <w:rPr>
          <w:rFonts w:hint="eastAsia"/>
          <w:b/>
          <w:bCs/>
        </w:rPr>
        <w:t xml:space="preserve">G fast recovery. </w:t>
      </w:r>
    </w:p>
    <w:p w:rsidR="00C93327" w:rsidRDefault="000D2FDE">
      <w:r>
        <w:rPr>
          <w:rFonts w:hint="eastAsia"/>
          <w:b/>
          <w:bCs/>
          <w:i/>
          <w:iCs/>
        </w:rPr>
        <w:t xml:space="preserve">Observation 1: The SN indication for the allowance of SRB3 based MCG fast recovery should be node-specific </w:t>
      </w:r>
      <w:r>
        <w:rPr>
          <w:rFonts w:hint="eastAsia"/>
          <w:b/>
          <w:bCs/>
          <w:i/>
          <w:iCs/>
        </w:rPr>
        <w:lastRenderedPageBreak/>
        <w:t>indication to avoid frequency signaling transfer between X2/Xn and Uu interface in case of the addition/release of SRB3.</w:t>
      </w:r>
      <w:r>
        <w:rPr>
          <w:rFonts w:hint="eastAsia"/>
          <w:b/>
          <w:bCs/>
        </w:rPr>
        <w:t xml:space="preserve"> </w:t>
      </w:r>
      <w:r>
        <w:rPr>
          <w:rFonts w:hint="eastAsia"/>
        </w:rPr>
        <w:t xml:space="preserve"> </w:t>
      </w:r>
    </w:p>
    <w:p w:rsidR="00C93327" w:rsidRDefault="000D2FDE">
      <w:pPr>
        <w:rPr>
          <w:b/>
          <w:bCs/>
        </w:rPr>
      </w:pPr>
      <w:r>
        <w:rPr>
          <w:rFonts w:hint="eastAsia"/>
          <w:b/>
          <w:bCs/>
        </w:rPr>
        <w:t>Proposal</w:t>
      </w:r>
      <w:r>
        <w:rPr>
          <w:rFonts w:hint="eastAsia"/>
          <w:b/>
          <w:bCs/>
        </w:rPr>
        <w:t xml:space="preserve"> 2: Send an LS to RAN3 to request them to define an indication in the SN Addition Request Acknowledge message to indicate whether SRB3 based MCG fast recovery is allowed or not.</w:t>
      </w:r>
    </w:p>
    <w:p w:rsidR="00C93327" w:rsidRDefault="000D2FDE">
      <w:bookmarkStart w:id="3" w:name="_GoBack"/>
      <w:bookmarkEnd w:id="3"/>
      <w:r>
        <w:rPr>
          <w:rFonts w:hint="eastAsia"/>
          <w:b/>
          <w:bCs/>
        </w:rPr>
        <w:t>Proposal 3: The MN can configure whether MCG fast recovery is allowed or not v</w:t>
      </w:r>
      <w:r>
        <w:rPr>
          <w:rFonts w:hint="eastAsia"/>
          <w:b/>
          <w:bCs/>
        </w:rPr>
        <w:t>ia dedicated RRC signaling.</w:t>
      </w:r>
    </w:p>
    <w:p w:rsidR="00C93327" w:rsidRDefault="000D2FD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C93327" w:rsidRDefault="000D2FDE">
      <w:pPr>
        <w:numPr>
          <w:ilvl w:val="0"/>
          <w:numId w:val="5"/>
        </w:numPr>
      </w:pPr>
      <w:bookmarkStart w:id="4" w:name="_Ref27758"/>
      <w:r>
        <w:rPr>
          <w:rFonts w:hint="eastAsia"/>
        </w:rPr>
        <w:t>R</w:t>
      </w:r>
      <w:bookmarkEnd w:id="4"/>
      <w:r>
        <w:rPr>
          <w:rFonts w:hint="eastAsia"/>
        </w:rPr>
        <w:t>AN2#10</w:t>
      </w:r>
      <w:r>
        <w:rPr>
          <w:rFonts w:hint="eastAsia"/>
        </w:rPr>
        <w:t>7bis</w:t>
      </w:r>
      <w:r>
        <w:rPr>
          <w:rFonts w:hint="eastAsia"/>
        </w:rPr>
        <w:t xml:space="preserve"> meeting chairman notes.</w:t>
      </w:r>
    </w:p>
    <w:p w:rsidR="00C93327" w:rsidRDefault="00C93327">
      <w:pPr>
        <w:rPr>
          <w:b/>
          <w:bCs/>
          <w:lang w:val="en-GB"/>
        </w:rPr>
      </w:pPr>
    </w:p>
    <w:sectPr w:rsidR="00C93327">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FDE" w:rsidRDefault="000D2FDE">
      <w:pPr>
        <w:spacing w:after="0" w:line="240" w:lineRule="auto"/>
      </w:pPr>
      <w:r>
        <w:separator/>
      </w:r>
    </w:p>
  </w:endnote>
  <w:endnote w:type="continuationSeparator" w:id="0">
    <w:p w:rsidR="000D2FDE" w:rsidRDefault="000D2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327" w:rsidRDefault="000D2F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93327" w:rsidRDefault="00C9332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327" w:rsidRDefault="00C93327">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FDE" w:rsidRDefault="000D2FDE">
      <w:pPr>
        <w:spacing w:after="0" w:line="240" w:lineRule="auto"/>
      </w:pPr>
      <w:r>
        <w:separator/>
      </w:r>
    </w:p>
  </w:footnote>
  <w:footnote w:type="continuationSeparator" w:id="0">
    <w:p w:rsidR="000D2FDE" w:rsidRDefault="000D2F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327" w:rsidRDefault="00C93327">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D3D26"/>
    <w:multiLevelType w:val="singleLevel"/>
    <w:tmpl w:val="AB3D3D26"/>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040AF7A"/>
    <w:multiLevelType w:val="singleLevel"/>
    <w:tmpl w:val="0040AF7A"/>
    <w:lvl w:ilvl="0">
      <w:start w:val="1"/>
      <w:numFmt w:val="decimal"/>
      <w:lvlText w:val="%1."/>
      <w:lvlJc w:val="left"/>
      <w:pPr>
        <w:ind w:left="425" w:hanging="425"/>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bordersDoNotSurroundHeader/>
  <w:bordersDoNotSurroundFooter/>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2D81"/>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D2FDE"/>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327"/>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F0471"/>
    <w:rsid w:val="00FF0AAD"/>
    <w:rsid w:val="00FF29CE"/>
    <w:rsid w:val="00FF2E7C"/>
    <w:rsid w:val="00FF2EAF"/>
    <w:rsid w:val="00FF33F4"/>
    <w:rsid w:val="01131166"/>
    <w:rsid w:val="016210DF"/>
    <w:rsid w:val="0165600B"/>
    <w:rsid w:val="016E3B27"/>
    <w:rsid w:val="01767489"/>
    <w:rsid w:val="0185508D"/>
    <w:rsid w:val="01910DD3"/>
    <w:rsid w:val="01920B2D"/>
    <w:rsid w:val="01943782"/>
    <w:rsid w:val="01977F6A"/>
    <w:rsid w:val="01A46D0E"/>
    <w:rsid w:val="01A5265A"/>
    <w:rsid w:val="01AC40BD"/>
    <w:rsid w:val="01AE3B73"/>
    <w:rsid w:val="01AF7A72"/>
    <w:rsid w:val="01B13560"/>
    <w:rsid w:val="01BE26E7"/>
    <w:rsid w:val="01C05D49"/>
    <w:rsid w:val="01C66A3F"/>
    <w:rsid w:val="01EE78D1"/>
    <w:rsid w:val="02017286"/>
    <w:rsid w:val="02115596"/>
    <w:rsid w:val="0212463B"/>
    <w:rsid w:val="02142423"/>
    <w:rsid w:val="02145888"/>
    <w:rsid w:val="021627D8"/>
    <w:rsid w:val="022D295E"/>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202434"/>
    <w:rsid w:val="0347521D"/>
    <w:rsid w:val="035A5498"/>
    <w:rsid w:val="035B5483"/>
    <w:rsid w:val="036C3B3B"/>
    <w:rsid w:val="037175E3"/>
    <w:rsid w:val="03857386"/>
    <w:rsid w:val="03892EFE"/>
    <w:rsid w:val="039A2405"/>
    <w:rsid w:val="039A4F82"/>
    <w:rsid w:val="039A7700"/>
    <w:rsid w:val="03BD31AF"/>
    <w:rsid w:val="03BE00C0"/>
    <w:rsid w:val="03D52450"/>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204B1C"/>
    <w:rsid w:val="0A2E5DB1"/>
    <w:rsid w:val="0A2F46DB"/>
    <w:rsid w:val="0A324A8A"/>
    <w:rsid w:val="0A337541"/>
    <w:rsid w:val="0A386426"/>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4523A"/>
    <w:rsid w:val="0C022CD6"/>
    <w:rsid w:val="0C0F2FEF"/>
    <w:rsid w:val="0C115C01"/>
    <w:rsid w:val="0C21687B"/>
    <w:rsid w:val="0C221921"/>
    <w:rsid w:val="0C2B7B6C"/>
    <w:rsid w:val="0C35257F"/>
    <w:rsid w:val="0C4E0C6C"/>
    <w:rsid w:val="0C5C4277"/>
    <w:rsid w:val="0C70637B"/>
    <w:rsid w:val="0C710975"/>
    <w:rsid w:val="0C7A6655"/>
    <w:rsid w:val="0C7D69BF"/>
    <w:rsid w:val="0CB47222"/>
    <w:rsid w:val="0CB5613D"/>
    <w:rsid w:val="0CCA31B6"/>
    <w:rsid w:val="0CCE60AE"/>
    <w:rsid w:val="0CE2368A"/>
    <w:rsid w:val="0CE55396"/>
    <w:rsid w:val="0CF31DF7"/>
    <w:rsid w:val="0CF40AF8"/>
    <w:rsid w:val="0D2C3BFA"/>
    <w:rsid w:val="0D4618D1"/>
    <w:rsid w:val="0D470E01"/>
    <w:rsid w:val="0D5412D9"/>
    <w:rsid w:val="0D563E1D"/>
    <w:rsid w:val="0D5D28E6"/>
    <w:rsid w:val="0D651FC1"/>
    <w:rsid w:val="0D6D666D"/>
    <w:rsid w:val="0D6E7297"/>
    <w:rsid w:val="0D7545AF"/>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4D26CC"/>
    <w:rsid w:val="0E560EFD"/>
    <w:rsid w:val="0E6A01E6"/>
    <w:rsid w:val="0E8C09CF"/>
    <w:rsid w:val="0E8D03D6"/>
    <w:rsid w:val="0E930DC4"/>
    <w:rsid w:val="0EA41BE0"/>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97329"/>
    <w:rsid w:val="0FDD3ABD"/>
    <w:rsid w:val="0FDD41C9"/>
    <w:rsid w:val="0FDE34CC"/>
    <w:rsid w:val="0FFC2B88"/>
    <w:rsid w:val="0FFD42FF"/>
    <w:rsid w:val="10144ACE"/>
    <w:rsid w:val="1019048E"/>
    <w:rsid w:val="10192E34"/>
    <w:rsid w:val="10220ACB"/>
    <w:rsid w:val="10324C94"/>
    <w:rsid w:val="103E1201"/>
    <w:rsid w:val="104177FA"/>
    <w:rsid w:val="105553B4"/>
    <w:rsid w:val="105F2701"/>
    <w:rsid w:val="105F3355"/>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81311E"/>
    <w:rsid w:val="129137BD"/>
    <w:rsid w:val="12AB4AA1"/>
    <w:rsid w:val="12D86D99"/>
    <w:rsid w:val="12EF1DC3"/>
    <w:rsid w:val="12EF741A"/>
    <w:rsid w:val="12F254D0"/>
    <w:rsid w:val="12F3239A"/>
    <w:rsid w:val="12FE42D6"/>
    <w:rsid w:val="130A5E23"/>
    <w:rsid w:val="131C3CE3"/>
    <w:rsid w:val="131D5C4A"/>
    <w:rsid w:val="132A76BE"/>
    <w:rsid w:val="13353240"/>
    <w:rsid w:val="13611100"/>
    <w:rsid w:val="136345D4"/>
    <w:rsid w:val="1365208E"/>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052D81"/>
    <w:rsid w:val="1D110690"/>
    <w:rsid w:val="1D111ED4"/>
    <w:rsid w:val="1D1E5C67"/>
    <w:rsid w:val="1D2C43C8"/>
    <w:rsid w:val="1D335855"/>
    <w:rsid w:val="1D3507AD"/>
    <w:rsid w:val="1D3F4F0A"/>
    <w:rsid w:val="1D6747F5"/>
    <w:rsid w:val="1D702483"/>
    <w:rsid w:val="1D7B7BDF"/>
    <w:rsid w:val="1D7C0AC5"/>
    <w:rsid w:val="1D812F92"/>
    <w:rsid w:val="1D850034"/>
    <w:rsid w:val="1D8B6EC0"/>
    <w:rsid w:val="1DA70EBB"/>
    <w:rsid w:val="1DAF4844"/>
    <w:rsid w:val="1DB15797"/>
    <w:rsid w:val="1DC43BC4"/>
    <w:rsid w:val="1DCC34E5"/>
    <w:rsid w:val="1DCF2EDB"/>
    <w:rsid w:val="1DDE47B5"/>
    <w:rsid w:val="1DFD5D66"/>
    <w:rsid w:val="1E1C0F23"/>
    <w:rsid w:val="1E1D3350"/>
    <w:rsid w:val="1E2D3856"/>
    <w:rsid w:val="1E2E6394"/>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C4E2F"/>
    <w:rsid w:val="213D0E8C"/>
    <w:rsid w:val="2140662B"/>
    <w:rsid w:val="214C3CD5"/>
    <w:rsid w:val="215A2AFE"/>
    <w:rsid w:val="215F458F"/>
    <w:rsid w:val="21711085"/>
    <w:rsid w:val="217228C9"/>
    <w:rsid w:val="218E0201"/>
    <w:rsid w:val="21926F6C"/>
    <w:rsid w:val="21936236"/>
    <w:rsid w:val="21A71340"/>
    <w:rsid w:val="21AE7BDE"/>
    <w:rsid w:val="21B13AA1"/>
    <w:rsid w:val="21B24080"/>
    <w:rsid w:val="21BF67E6"/>
    <w:rsid w:val="21C051BE"/>
    <w:rsid w:val="21C268DE"/>
    <w:rsid w:val="21D061B3"/>
    <w:rsid w:val="21D24CF4"/>
    <w:rsid w:val="21DE47CF"/>
    <w:rsid w:val="21FA7C76"/>
    <w:rsid w:val="21FB378E"/>
    <w:rsid w:val="22086DD5"/>
    <w:rsid w:val="220D602F"/>
    <w:rsid w:val="221122B7"/>
    <w:rsid w:val="221335D5"/>
    <w:rsid w:val="221803B8"/>
    <w:rsid w:val="223F2906"/>
    <w:rsid w:val="22460F19"/>
    <w:rsid w:val="226F2366"/>
    <w:rsid w:val="227167CA"/>
    <w:rsid w:val="22727FD0"/>
    <w:rsid w:val="22805B8B"/>
    <w:rsid w:val="228135D1"/>
    <w:rsid w:val="2281465F"/>
    <w:rsid w:val="22A13519"/>
    <w:rsid w:val="22B23E9D"/>
    <w:rsid w:val="22C54E5E"/>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F2220"/>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CE0B3E"/>
    <w:rsid w:val="25CF30BA"/>
    <w:rsid w:val="25D87AE6"/>
    <w:rsid w:val="25DE04AA"/>
    <w:rsid w:val="25E71F78"/>
    <w:rsid w:val="25EA75FB"/>
    <w:rsid w:val="25EB1A7A"/>
    <w:rsid w:val="26033C65"/>
    <w:rsid w:val="26081BF8"/>
    <w:rsid w:val="260C58C5"/>
    <w:rsid w:val="26103B59"/>
    <w:rsid w:val="261F28E2"/>
    <w:rsid w:val="26264554"/>
    <w:rsid w:val="263235F5"/>
    <w:rsid w:val="26333A29"/>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75446F"/>
    <w:rsid w:val="278B2D28"/>
    <w:rsid w:val="27947308"/>
    <w:rsid w:val="2796033D"/>
    <w:rsid w:val="27B60AFD"/>
    <w:rsid w:val="27B914E9"/>
    <w:rsid w:val="27C435E3"/>
    <w:rsid w:val="27CD2E52"/>
    <w:rsid w:val="27D47C66"/>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5011C"/>
    <w:rsid w:val="29291D27"/>
    <w:rsid w:val="29334E58"/>
    <w:rsid w:val="29342C80"/>
    <w:rsid w:val="293F4FBE"/>
    <w:rsid w:val="294D1445"/>
    <w:rsid w:val="296D72E7"/>
    <w:rsid w:val="297C4F1B"/>
    <w:rsid w:val="29841FF1"/>
    <w:rsid w:val="299159E7"/>
    <w:rsid w:val="29BD1A42"/>
    <w:rsid w:val="29C562CC"/>
    <w:rsid w:val="29C90D98"/>
    <w:rsid w:val="29E522F6"/>
    <w:rsid w:val="29F50DAE"/>
    <w:rsid w:val="29F8715D"/>
    <w:rsid w:val="2A030B0B"/>
    <w:rsid w:val="2A0857F5"/>
    <w:rsid w:val="2A0C1ECE"/>
    <w:rsid w:val="2A0D2B92"/>
    <w:rsid w:val="2A32766A"/>
    <w:rsid w:val="2A363620"/>
    <w:rsid w:val="2A4006A0"/>
    <w:rsid w:val="2A404777"/>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D14E6"/>
    <w:rsid w:val="2D4E4D0B"/>
    <w:rsid w:val="2D5145BB"/>
    <w:rsid w:val="2D7322FD"/>
    <w:rsid w:val="2D7406B9"/>
    <w:rsid w:val="2D8E2EA1"/>
    <w:rsid w:val="2D8F27DB"/>
    <w:rsid w:val="2D927047"/>
    <w:rsid w:val="2D966719"/>
    <w:rsid w:val="2D97240F"/>
    <w:rsid w:val="2D9E7AAD"/>
    <w:rsid w:val="2DB46007"/>
    <w:rsid w:val="2DC92410"/>
    <w:rsid w:val="2DD70417"/>
    <w:rsid w:val="2DDB0F96"/>
    <w:rsid w:val="2DE35418"/>
    <w:rsid w:val="2E0D4E92"/>
    <w:rsid w:val="2E101687"/>
    <w:rsid w:val="2E126562"/>
    <w:rsid w:val="2E1D58DE"/>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B512F"/>
    <w:rsid w:val="2FF06294"/>
    <w:rsid w:val="2FF13DD5"/>
    <w:rsid w:val="2FF66C8B"/>
    <w:rsid w:val="2FF9135A"/>
    <w:rsid w:val="30121DB6"/>
    <w:rsid w:val="30194267"/>
    <w:rsid w:val="30265DB3"/>
    <w:rsid w:val="303D2A1B"/>
    <w:rsid w:val="303E2FFE"/>
    <w:rsid w:val="30423C79"/>
    <w:rsid w:val="306205C4"/>
    <w:rsid w:val="30657AE9"/>
    <w:rsid w:val="30856D7B"/>
    <w:rsid w:val="308A183B"/>
    <w:rsid w:val="308E5FDF"/>
    <w:rsid w:val="30926D0D"/>
    <w:rsid w:val="309C6DDB"/>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313D66"/>
    <w:rsid w:val="33352864"/>
    <w:rsid w:val="33397206"/>
    <w:rsid w:val="33451D77"/>
    <w:rsid w:val="33516568"/>
    <w:rsid w:val="33530865"/>
    <w:rsid w:val="33547F1F"/>
    <w:rsid w:val="337169E0"/>
    <w:rsid w:val="33796778"/>
    <w:rsid w:val="337F01D0"/>
    <w:rsid w:val="3397431E"/>
    <w:rsid w:val="33AD0C9D"/>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30B60"/>
    <w:rsid w:val="386B0ED9"/>
    <w:rsid w:val="387409B9"/>
    <w:rsid w:val="387D29BE"/>
    <w:rsid w:val="38837E13"/>
    <w:rsid w:val="38862BA8"/>
    <w:rsid w:val="388C5F8D"/>
    <w:rsid w:val="38945C70"/>
    <w:rsid w:val="38A05A0D"/>
    <w:rsid w:val="38A968C8"/>
    <w:rsid w:val="38AB19DA"/>
    <w:rsid w:val="38B96453"/>
    <w:rsid w:val="38C37207"/>
    <w:rsid w:val="38D27E22"/>
    <w:rsid w:val="38F05821"/>
    <w:rsid w:val="38F65986"/>
    <w:rsid w:val="39037914"/>
    <w:rsid w:val="390A3D17"/>
    <w:rsid w:val="39197EF7"/>
    <w:rsid w:val="39267A2B"/>
    <w:rsid w:val="393B6A45"/>
    <w:rsid w:val="3957061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615F7B"/>
    <w:rsid w:val="3A650A0E"/>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F1B0C"/>
    <w:rsid w:val="3B16341F"/>
    <w:rsid w:val="3B247D05"/>
    <w:rsid w:val="3B2D7969"/>
    <w:rsid w:val="3B4F5659"/>
    <w:rsid w:val="3B587FC0"/>
    <w:rsid w:val="3B5C5E4F"/>
    <w:rsid w:val="3B686802"/>
    <w:rsid w:val="3B8A05C9"/>
    <w:rsid w:val="3B8B65A4"/>
    <w:rsid w:val="3B94771D"/>
    <w:rsid w:val="3B9C51AC"/>
    <w:rsid w:val="3BA86F0F"/>
    <w:rsid w:val="3BB26CEE"/>
    <w:rsid w:val="3BBE4E43"/>
    <w:rsid w:val="3BDE71BE"/>
    <w:rsid w:val="3C0829E0"/>
    <w:rsid w:val="3C0B32C7"/>
    <w:rsid w:val="3C0B7D3C"/>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B3335"/>
    <w:rsid w:val="3CC21E8B"/>
    <w:rsid w:val="3CC258D5"/>
    <w:rsid w:val="3CD30C12"/>
    <w:rsid w:val="3CDC1F42"/>
    <w:rsid w:val="3CF11106"/>
    <w:rsid w:val="3CF1460B"/>
    <w:rsid w:val="3CFE7137"/>
    <w:rsid w:val="3CFF5FCC"/>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833861"/>
    <w:rsid w:val="3E880CDE"/>
    <w:rsid w:val="3E9902BD"/>
    <w:rsid w:val="3EAB68CC"/>
    <w:rsid w:val="3EB45BDF"/>
    <w:rsid w:val="3EC075F2"/>
    <w:rsid w:val="3EC07E82"/>
    <w:rsid w:val="3EC61005"/>
    <w:rsid w:val="3EC64136"/>
    <w:rsid w:val="3ECC6C03"/>
    <w:rsid w:val="3ED037EE"/>
    <w:rsid w:val="3EE16478"/>
    <w:rsid w:val="3EF2130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A54F1"/>
    <w:rsid w:val="40CC1C7A"/>
    <w:rsid w:val="40D145D9"/>
    <w:rsid w:val="40DA6699"/>
    <w:rsid w:val="40E81F30"/>
    <w:rsid w:val="4107385B"/>
    <w:rsid w:val="4113642B"/>
    <w:rsid w:val="41151751"/>
    <w:rsid w:val="411D5581"/>
    <w:rsid w:val="411F13DA"/>
    <w:rsid w:val="41225E28"/>
    <w:rsid w:val="413635BD"/>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28318E"/>
    <w:rsid w:val="4337362E"/>
    <w:rsid w:val="43377A41"/>
    <w:rsid w:val="433C0AD9"/>
    <w:rsid w:val="435C2DD4"/>
    <w:rsid w:val="43606EE8"/>
    <w:rsid w:val="436D6C7E"/>
    <w:rsid w:val="43825E8E"/>
    <w:rsid w:val="438C60C3"/>
    <w:rsid w:val="43B67D40"/>
    <w:rsid w:val="43C90ABC"/>
    <w:rsid w:val="43D60F59"/>
    <w:rsid w:val="43D6358D"/>
    <w:rsid w:val="43E61AF4"/>
    <w:rsid w:val="43EA6FF8"/>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400BC0"/>
    <w:rsid w:val="455C4C80"/>
    <w:rsid w:val="455D4229"/>
    <w:rsid w:val="45617F43"/>
    <w:rsid w:val="45675C27"/>
    <w:rsid w:val="4572498F"/>
    <w:rsid w:val="458469DB"/>
    <w:rsid w:val="45863114"/>
    <w:rsid w:val="45871207"/>
    <w:rsid w:val="459D3251"/>
    <w:rsid w:val="45A1725C"/>
    <w:rsid w:val="45A34A00"/>
    <w:rsid w:val="45B33A3B"/>
    <w:rsid w:val="45C20D69"/>
    <w:rsid w:val="45D077D4"/>
    <w:rsid w:val="45DE6754"/>
    <w:rsid w:val="45EF1E60"/>
    <w:rsid w:val="45F877F1"/>
    <w:rsid w:val="46043836"/>
    <w:rsid w:val="46163A58"/>
    <w:rsid w:val="461C30A3"/>
    <w:rsid w:val="461F2208"/>
    <w:rsid w:val="462253D7"/>
    <w:rsid w:val="463416CE"/>
    <w:rsid w:val="4638223A"/>
    <w:rsid w:val="4641025F"/>
    <w:rsid w:val="464B7611"/>
    <w:rsid w:val="466E0F0B"/>
    <w:rsid w:val="4673382E"/>
    <w:rsid w:val="4675674D"/>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CFA2A1C"/>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1C6268"/>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C6748D"/>
    <w:rsid w:val="4FD14464"/>
    <w:rsid w:val="4FE20BB5"/>
    <w:rsid w:val="4FE6073F"/>
    <w:rsid w:val="4FE75848"/>
    <w:rsid w:val="4FF267B6"/>
    <w:rsid w:val="4FFA7287"/>
    <w:rsid w:val="500C2485"/>
    <w:rsid w:val="500C2A64"/>
    <w:rsid w:val="50166EE3"/>
    <w:rsid w:val="502C53C6"/>
    <w:rsid w:val="503839AD"/>
    <w:rsid w:val="503B7294"/>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794F8B"/>
    <w:rsid w:val="557B4C8B"/>
    <w:rsid w:val="55832F33"/>
    <w:rsid w:val="558A5F58"/>
    <w:rsid w:val="558D782E"/>
    <w:rsid w:val="558F42FA"/>
    <w:rsid w:val="55951C70"/>
    <w:rsid w:val="55B52DF8"/>
    <w:rsid w:val="55BB4B52"/>
    <w:rsid w:val="55CA34C8"/>
    <w:rsid w:val="55CB1CAC"/>
    <w:rsid w:val="55D11067"/>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82126"/>
    <w:rsid w:val="56F267E1"/>
    <w:rsid w:val="56F54041"/>
    <w:rsid w:val="57036935"/>
    <w:rsid w:val="57066F91"/>
    <w:rsid w:val="571324AB"/>
    <w:rsid w:val="571E6EC9"/>
    <w:rsid w:val="57211E57"/>
    <w:rsid w:val="57271B76"/>
    <w:rsid w:val="57290486"/>
    <w:rsid w:val="57495B53"/>
    <w:rsid w:val="57555665"/>
    <w:rsid w:val="575F3DA0"/>
    <w:rsid w:val="5764164C"/>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957BD9"/>
    <w:rsid w:val="58A03185"/>
    <w:rsid w:val="58A04280"/>
    <w:rsid w:val="58A4669B"/>
    <w:rsid w:val="58A74E2C"/>
    <w:rsid w:val="58B50A9E"/>
    <w:rsid w:val="58B54357"/>
    <w:rsid w:val="58B67D21"/>
    <w:rsid w:val="58C213D0"/>
    <w:rsid w:val="58CA2633"/>
    <w:rsid w:val="58D108AB"/>
    <w:rsid w:val="58E849A9"/>
    <w:rsid w:val="58F14B54"/>
    <w:rsid w:val="590848BC"/>
    <w:rsid w:val="5917423E"/>
    <w:rsid w:val="593B0E3D"/>
    <w:rsid w:val="594C374D"/>
    <w:rsid w:val="59523F34"/>
    <w:rsid w:val="59565A07"/>
    <w:rsid w:val="595912C2"/>
    <w:rsid w:val="59826013"/>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105C3"/>
    <w:rsid w:val="5A58463C"/>
    <w:rsid w:val="5A5925FE"/>
    <w:rsid w:val="5A5A54FE"/>
    <w:rsid w:val="5A5A763A"/>
    <w:rsid w:val="5A70416F"/>
    <w:rsid w:val="5A751708"/>
    <w:rsid w:val="5A8654CC"/>
    <w:rsid w:val="5A8D164F"/>
    <w:rsid w:val="5AAD6717"/>
    <w:rsid w:val="5AB032EE"/>
    <w:rsid w:val="5AB36283"/>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604556"/>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C57C91"/>
    <w:rsid w:val="5FCE245F"/>
    <w:rsid w:val="5FD32219"/>
    <w:rsid w:val="5FDC1B9B"/>
    <w:rsid w:val="5FF50B7C"/>
    <w:rsid w:val="5FF74A8C"/>
    <w:rsid w:val="5FFB1252"/>
    <w:rsid w:val="60072412"/>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D00F1"/>
    <w:rsid w:val="61C02FF5"/>
    <w:rsid w:val="61D55291"/>
    <w:rsid w:val="61DB6C55"/>
    <w:rsid w:val="61EE19CC"/>
    <w:rsid w:val="61F354C2"/>
    <w:rsid w:val="6209128F"/>
    <w:rsid w:val="620E5D8A"/>
    <w:rsid w:val="62125083"/>
    <w:rsid w:val="62262E7A"/>
    <w:rsid w:val="6231003C"/>
    <w:rsid w:val="62366488"/>
    <w:rsid w:val="623B63B7"/>
    <w:rsid w:val="623F4920"/>
    <w:rsid w:val="62494F09"/>
    <w:rsid w:val="624A1B49"/>
    <w:rsid w:val="624E45D8"/>
    <w:rsid w:val="6250617C"/>
    <w:rsid w:val="62520DCA"/>
    <w:rsid w:val="62666F47"/>
    <w:rsid w:val="62690F67"/>
    <w:rsid w:val="627A370F"/>
    <w:rsid w:val="62990512"/>
    <w:rsid w:val="62B25649"/>
    <w:rsid w:val="62BC6E00"/>
    <w:rsid w:val="62C56FE5"/>
    <w:rsid w:val="62C7240E"/>
    <w:rsid w:val="62EA423D"/>
    <w:rsid w:val="630031BE"/>
    <w:rsid w:val="630E78F0"/>
    <w:rsid w:val="63103FC7"/>
    <w:rsid w:val="63160CAE"/>
    <w:rsid w:val="631652DA"/>
    <w:rsid w:val="631D3111"/>
    <w:rsid w:val="63204A36"/>
    <w:rsid w:val="63250A4F"/>
    <w:rsid w:val="63283C61"/>
    <w:rsid w:val="632E1C39"/>
    <w:rsid w:val="633B5E70"/>
    <w:rsid w:val="635342C2"/>
    <w:rsid w:val="635B4F0A"/>
    <w:rsid w:val="6361690C"/>
    <w:rsid w:val="636D152D"/>
    <w:rsid w:val="63727389"/>
    <w:rsid w:val="63733461"/>
    <w:rsid w:val="63740D84"/>
    <w:rsid w:val="637E3BE7"/>
    <w:rsid w:val="63850E8E"/>
    <w:rsid w:val="63882CEE"/>
    <w:rsid w:val="638C4CDE"/>
    <w:rsid w:val="63905FCF"/>
    <w:rsid w:val="63A20961"/>
    <w:rsid w:val="63A20A78"/>
    <w:rsid w:val="63A853FB"/>
    <w:rsid w:val="63C75B92"/>
    <w:rsid w:val="63CA29B9"/>
    <w:rsid w:val="63D3253C"/>
    <w:rsid w:val="63DB6970"/>
    <w:rsid w:val="63EC6C3A"/>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B36D91"/>
    <w:rsid w:val="67CD4770"/>
    <w:rsid w:val="67DF5131"/>
    <w:rsid w:val="67E0527D"/>
    <w:rsid w:val="67E31422"/>
    <w:rsid w:val="67EA4D75"/>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7169A"/>
    <w:rsid w:val="6A1904ED"/>
    <w:rsid w:val="6A252E83"/>
    <w:rsid w:val="6A2B39A2"/>
    <w:rsid w:val="6A4E63D2"/>
    <w:rsid w:val="6A72023C"/>
    <w:rsid w:val="6A835F76"/>
    <w:rsid w:val="6A892BBB"/>
    <w:rsid w:val="6A9010CD"/>
    <w:rsid w:val="6A934155"/>
    <w:rsid w:val="6A960F65"/>
    <w:rsid w:val="6A977D6C"/>
    <w:rsid w:val="6A981DCD"/>
    <w:rsid w:val="6AB638F9"/>
    <w:rsid w:val="6AB71A6D"/>
    <w:rsid w:val="6AE65368"/>
    <w:rsid w:val="6AEF2922"/>
    <w:rsid w:val="6AF317F3"/>
    <w:rsid w:val="6AFF3D73"/>
    <w:rsid w:val="6B0B7BB9"/>
    <w:rsid w:val="6B1444F7"/>
    <w:rsid w:val="6B1C3891"/>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97405"/>
    <w:rsid w:val="6E0E1028"/>
    <w:rsid w:val="6E101629"/>
    <w:rsid w:val="6E145A7C"/>
    <w:rsid w:val="6E160D9C"/>
    <w:rsid w:val="6E2C098B"/>
    <w:rsid w:val="6E4662DC"/>
    <w:rsid w:val="6E511E37"/>
    <w:rsid w:val="6E5B554A"/>
    <w:rsid w:val="6E5C7D35"/>
    <w:rsid w:val="6E674912"/>
    <w:rsid w:val="6E6A4764"/>
    <w:rsid w:val="6E7251A5"/>
    <w:rsid w:val="6E746D80"/>
    <w:rsid w:val="6E9821A1"/>
    <w:rsid w:val="6EA2047A"/>
    <w:rsid w:val="6EB02A3D"/>
    <w:rsid w:val="6EB61295"/>
    <w:rsid w:val="6ECE7848"/>
    <w:rsid w:val="6ECE78F2"/>
    <w:rsid w:val="6EDD0E4F"/>
    <w:rsid w:val="6EEB23CD"/>
    <w:rsid w:val="6EEB289D"/>
    <w:rsid w:val="6EEC2156"/>
    <w:rsid w:val="6EF76E3B"/>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C068A9"/>
    <w:rsid w:val="75CC0E61"/>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5396B"/>
    <w:rsid w:val="76CE25D0"/>
    <w:rsid w:val="76D64223"/>
    <w:rsid w:val="76E30140"/>
    <w:rsid w:val="76E61D96"/>
    <w:rsid w:val="76EB730E"/>
    <w:rsid w:val="76F63E3A"/>
    <w:rsid w:val="76F754DC"/>
    <w:rsid w:val="77363120"/>
    <w:rsid w:val="775F3709"/>
    <w:rsid w:val="77672B4F"/>
    <w:rsid w:val="77673DCE"/>
    <w:rsid w:val="777A7A3E"/>
    <w:rsid w:val="777C2047"/>
    <w:rsid w:val="777E72EB"/>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625528"/>
    <w:rsid w:val="7963001B"/>
    <w:rsid w:val="796411F3"/>
    <w:rsid w:val="796528F1"/>
    <w:rsid w:val="79782668"/>
    <w:rsid w:val="797D7C7B"/>
    <w:rsid w:val="798473C1"/>
    <w:rsid w:val="798D0CB1"/>
    <w:rsid w:val="79A917D5"/>
    <w:rsid w:val="79F866D7"/>
    <w:rsid w:val="7A0D5030"/>
    <w:rsid w:val="7A1F0B92"/>
    <w:rsid w:val="7A2F0FE2"/>
    <w:rsid w:val="7A2F6A25"/>
    <w:rsid w:val="7A375628"/>
    <w:rsid w:val="7A3B0D02"/>
    <w:rsid w:val="7A3C0448"/>
    <w:rsid w:val="7A462225"/>
    <w:rsid w:val="7A4B1579"/>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354C7"/>
    <w:rsid w:val="7D941C0F"/>
    <w:rsid w:val="7DAB67A3"/>
    <w:rsid w:val="7DB44B27"/>
    <w:rsid w:val="7DB82B5F"/>
    <w:rsid w:val="7DBF30E5"/>
    <w:rsid w:val="7DC92892"/>
    <w:rsid w:val="7DD3555C"/>
    <w:rsid w:val="7DDC1687"/>
    <w:rsid w:val="7DDC5561"/>
    <w:rsid w:val="7DE53A1D"/>
    <w:rsid w:val="7DE805EC"/>
    <w:rsid w:val="7E0D1655"/>
    <w:rsid w:val="7E0E4C52"/>
    <w:rsid w:val="7E180D00"/>
    <w:rsid w:val="7E1A5F33"/>
    <w:rsid w:val="7E1B1677"/>
    <w:rsid w:val="7E1B4DBE"/>
    <w:rsid w:val="7E3B0F1A"/>
    <w:rsid w:val="7E4C0278"/>
    <w:rsid w:val="7E5426EF"/>
    <w:rsid w:val="7E554F28"/>
    <w:rsid w:val="7E582A5A"/>
    <w:rsid w:val="7E705793"/>
    <w:rsid w:val="7E8209B3"/>
    <w:rsid w:val="7E851695"/>
    <w:rsid w:val="7E865444"/>
    <w:rsid w:val="7E970A59"/>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C00AC8"/>
    <w:rsid w:val="7FCB421A"/>
    <w:rsid w:val="7FCF058D"/>
    <w:rsid w:val="7FD25D7C"/>
    <w:rsid w:val="7FDE5C9E"/>
    <w:rsid w:val="7FE655FC"/>
    <w:rsid w:val="7FE677B0"/>
    <w:rsid w:val="7FEC5D8C"/>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9595BF-739D-42C2-94BF-DD0F3365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sz w:val="18"/>
      <w:szCs w:val="18"/>
      <w:lang w:eastAsia="zh-CN"/>
    </w:rPr>
  </w:style>
  <w:style w:type="paragraph" w:customStyle="1" w:styleId="a6">
    <w:name w:val="示例内容"/>
    <w:qFormat/>
    <w:pPr>
      <w:ind w:firstLineChars="200" w:firstLine="200"/>
    </w:pPr>
    <w:rPr>
      <w:rFonts w:ascii="SimSun" w:eastAsiaTheme="minorEastAsia"/>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SimHei" w:eastAsia="SimHei"/>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SimHei" w:eastAsia="SimHei"/>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200"/>
      <w:jc w:val="both"/>
      <w:outlineLvl w:val="1"/>
    </w:pPr>
    <w:rPr>
      <w:rFonts w:ascii="SimHei" w:eastAsia="SimHei"/>
      <w:sz w:val="21"/>
      <w:lang w:eastAsia="zh-CN"/>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SimHei" w:eastAsia="SimHei"/>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eastAsiaTheme="minorEastAsia"/>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200"/>
      <w:ind w:left="1304" w:hanging="1304"/>
      <w:jc w:val="center"/>
    </w:pPr>
    <w:rPr>
      <w:rFonts w:ascii="SimHei" w:eastAsia="SimHei"/>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eastAsia="zh-CN"/>
    </w:rPr>
  </w:style>
  <w:style w:type="paragraph" w:customStyle="1" w:styleId="affff0">
    <w:name w:val="附录字母编号列项（一级）"/>
    <w:qFormat/>
    <w:pPr>
      <w:tabs>
        <w:tab w:val="left" w:pos="839"/>
      </w:tabs>
      <w:ind w:firstLine="363"/>
    </w:pPr>
    <w:rPr>
      <w:rFonts w:ascii="SimSun" w:eastAsiaTheme="minorEastAsia"/>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sz w:val="18"/>
      <w:szCs w:val="18"/>
      <w:lang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rFonts w:eastAsia="SimSun"/>
      <w:sz w:val="24"/>
      <w:szCs w:val="24"/>
      <w:lang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CF85FA-8699-4C52-BFB9-940B03ED9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810</Words>
  <Characters>4619</Characters>
  <Application>Microsoft Office Word</Application>
  <DocSecurity>0</DocSecurity>
  <Lines>38</Lines>
  <Paragraphs>10</Paragraphs>
  <ScaleCrop>false</ScaleCrop>
  <Company>ZTE</Company>
  <LinksUpToDate>false</LinksUpToDate>
  <CharactersWithSpaces>5419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cp:revision>
  <cp:lastPrinted>2113-01-01T00:00:00Z</cp:lastPrinted>
  <dcterms:created xsi:type="dcterms:W3CDTF">2019-08-16T00:31:00Z</dcterms:created>
  <dcterms:modified xsi:type="dcterms:W3CDTF">2019-11-08T06:01:00Z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